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</w:t>
      </w:r>
      <w:r>
        <w:rPr>
          <w:rFonts w:ascii="Times New Roman" w:eastAsia="Times New Roman" w:hAnsi="Times New Roman" w:cs="Times New Roman"/>
        </w:rPr>
        <w:t>в отношении должностного лица-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</w:t>
      </w:r>
      <w:r>
        <w:rPr>
          <w:rFonts w:ascii="Times New Roman" w:eastAsia="Times New Roman" w:hAnsi="Times New Roman" w:cs="Times New Roman"/>
        </w:rPr>
        <w:t>йской Федерации (далее - НК РФ)</w:t>
      </w:r>
      <w:r>
        <w:rPr>
          <w:rFonts w:ascii="Times New Roman" w:eastAsia="Times New Roman" w:hAnsi="Times New Roman" w:cs="Times New Roman"/>
        </w:rPr>
        <w:t xml:space="preserve">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 xml:space="preserve">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предоставив Расчет с нарушением срока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19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налоговой декларации (расчета), поступившей в налоговый орган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6659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OrganizationNamegrp-19rplc-33">
    <w:name w:val="cat-OrganizationName grp-19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6BED-4FF6-49FE-B2FE-6C3D07CE23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